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1EAB" w14:textId="3B36AE19" w:rsidR="00E94F9F" w:rsidRPr="008011DD" w:rsidRDefault="00E94F9F"/>
    <w:p w14:paraId="19DF5A28" w14:textId="1377AD34" w:rsidR="00F538E6" w:rsidRPr="008011DD" w:rsidRDefault="00F538E6" w:rsidP="00F538E6">
      <w:pPr>
        <w:spacing w:line="240" w:lineRule="auto"/>
        <w:rPr>
          <w:rFonts w:eastAsia="Times New Roman"/>
          <w:color w:val="000000"/>
          <w:lang w:val="en-US"/>
        </w:rPr>
      </w:pPr>
      <w:r w:rsidRPr="008011DD">
        <w:rPr>
          <w:rFonts w:eastAsia="Times New Roman"/>
          <w:color w:val="000000"/>
          <w:lang w:val="en-US"/>
        </w:rPr>
        <w:t>March 21, 2022</w:t>
      </w:r>
    </w:p>
    <w:p w14:paraId="289273E5" w14:textId="77777777" w:rsidR="00F538E6" w:rsidRPr="008011DD" w:rsidRDefault="00F538E6" w:rsidP="00F538E6">
      <w:pPr>
        <w:spacing w:line="240" w:lineRule="auto"/>
        <w:rPr>
          <w:rFonts w:eastAsia="Times New Roman"/>
          <w:lang w:val="en-US"/>
        </w:rPr>
      </w:pPr>
    </w:p>
    <w:p w14:paraId="1574D6FC" w14:textId="77777777" w:rsidR="00F538E6" w:rsidRPr="008011DD" w:rsidRDefault="00F538E6" w:rsidP="00F538E6">
      <w:pPr>
        <w:spacing w:line="240" w:lineRule="auto"/>
        <w:rPr>
          <w:rFonts w:eastAsia="Times New Roman"/>
          <w:lang w:val="en-US"/>
        </w:rPr>
      </w:pPr>
      <w:r w:rsidRPr="008011DD">
        <w:rPr>
          <w:rFonts w:eastAsia="Times New Roman"/>
          <w:color w:val="000000"/>
          <w:lang w:val="en-US"/>
        </w:rPr>
        <w:t>The Honorable Dr. Jim Wood, Chair</w:t>
      </w:r>
    </w:p>
    <w:p w14:paraId="3E683D44" w14:textId="77777777" w:rsidR="00F538E6" w:rsidRPr="008011DD" w:rsidRDefault="00F538E6" w:rsidP="00F538E6">
      <w:pPr>
        <w:spacing w:line="240" w:lineRule="auto"/>
        <w:rPr>
          <w:rFonts w:eastAsia="Times New Roman"/>
          <w:lang w:val="en-US"/>
        </w:rPr>
      </w:pPr>
      <w:r w:rsidRPr="008011DD">
        <w:rPr>
          <w:rFonts w:eastAsia="Times New Roman"/>
          <w:color w:val="000000"/>
          <w:lang w:val="en-US"/>
        </w:rPr>
        <w:t>Assembly Health Committee</w:t>
      </w:r>
    </w:p>
    <w:p w14:paraId="40032AA0" w14:textId="77777777" w:rsidR="00F538E6" w:rsidRPr="008011DD" w:rsidRDefault="00F538E6" w:rsidP="00F538E6">
      <w:pPr>
        <w:spacing w:line="240" w:lineRule="auto"/>
        <w:rPr>
          <w:rFonts w:eastAsia="Times New Roman"/>
          <w:lang w:val="en-US"/>
        </w:rPr>
      </w:pPr>
      <w:r w:rsidRPr="008011DD">
        <w:rPr>
          <w:rFonts w:eastAsia="Times New Roman"/>
          <w:color w:val="000000"/>
          <w:lang w:val="en-US"/>
        </w:rPr>
        <w:t>LOB, 1020 N Street, Room 390</w:t>
      </w:r>
    </w:p>
    <w:p w14:paraId="54871C8F" w14:textId="77777777" w:rsidR="00F538E6" w:rsidRPr="008011DD" w:rsidRDefault="00F538E6" w:rsidP="00F538E6">
      <w:pPr>
        <w:spacing w:line="240" w:lineRule="auto"/>
        <w:rPr>
          <w:rFonts w:eastAsia="Times New Roman"/>
          <w:lang w:val="en-US"/>
        </w:rPr>
      </w:pPr>
      <w:r w:rsidRPr="008011DD">
        <w:rPr>
          <w:rFonts w:eastAsia="Times New Roman"/>
          <w:color w:val="000000"/>
          <w:lang w:val="en-US"/>
        </w:rPr>
        <w:t>Sacramento, CA 95814</w:t>
      </w:r>
    </w:p>
    <w:p w14:paraId="5E5F6B05" w14:textId="77777777" w:rsidR="00F538E6" w:rsidRPr="008011DD" w:rsidRDefault="00F538E6" w:rsidP="00F538E6">
      <w:pPr>
        <w:spacing w:line="240" w:lineRule="auto"/>
        <w:rPr>
          <w:rFonts w:eastAsia="Times New Roman"/>
          <w:lang w:val="en-US"/>
        </w:rPr>
      </w:pPr>
    </w:p>
    <w:p w14:paraId="0D998D30" w14:textId="77777777" w:rsidR="00F538E6" w:rsidRPr="008011DD" w:rsidRDefault="00F538E6" w:rsidP="00F538E6">
      <w:pPr>
        <w:spacing w:line="240" w:lineRule="auto"/>
        <w:rPr>
          <w:rFonts w:eastAsia="Times New Roman"/>
          <w:lang w:val="en-US"/>
        </w:rPr>
      </w:pPr>
      <w:r w:rsidRPr="008011DD">
        <w:rPr>
          <w:rFonts w:eastAsia="Times New Roman"/>
          <w:b/>
          <w:bCs/>
          <w:color w:val="000000"/>
          <w:lang w:val="en-US"/>
        </w:rPr>
        <w:t>Re:</w:t>
      </w:r>
      <w:r w:rsidRPr="008011DD">
        <w:rPr>
          <w:rFonts w:eastAsia="Times New Roman"/>
          <w:b/>
          <w:bCs/>
          <w:color w:val="000000"/>
          <w:lang w:val="en-US"/>
        </w:rPr>
        <w:tab/>
        <w:t>AB 2402 (Rubio) Medi-Cal: continuous eligibility – Support </w:t>
      </w:r>
    </w:p>
    <w:p w14:paraId="56CA3344" w14:textId="77777777" w:rsidR="00F538E6" w:rsidRPr="008011DD" w:rsidRDefault="00F538E6" w:rsidP="00F538E6">
      <w:pPr>
        <w:spacing w:line="240" w:lineRule="auto"/>
        <w:rPr>
          <w:rFonts w:eastAsia="Times New Roman"/>
          <w:lang w:val="en-US"/>
        </w:rPr>
      </w:pPr>
      <w:r w:rsidRPr="008011DD">
        <w:rPr>
          <w:rFonts w:eastAsia="Times New Roman"/>
          <w:i/>
          <w:iCs/>
          <w:color w:val="000000"/>
          <w:lang w:val="en-US"/>
        </w:rPr>
        <w:tab/>
        <w:t>Assembly Health Committee – March 29, 2022</w:t>
      </w:r>
    </w:p>
    <w:p w14:paraId="261DA6D3" w14:textId="77777777" w:rsidR="00F538E6" w:rsidRPr="008011DD" w:rsidRDefault="00F538E6" w:rsidP="00F538E6">
      <w:pPr>
        <w:spacing w:line="240" w:lineRule="auto"/>
        <w:rPr>
          <w:rFonts w:eastAsia="Times New Roman"/>
          <w:lang w:val="en-US"/>
        </w:rPr>
      </w:pPr>
    </w:p>
    <w:p w14:paraId="5A95AE70" w14:textId="77777777" w:rsidR="00F538E6" w:rsidRPr="008011DD" w:rsidRDefault="00F538E6" w:rsidP="00F538E6">
      <w:pPr>
        <w:spacing w:line="240" w:lineRule="auto"/>
        <w:rPr>
          <w:rFonts w:eastAsia="Times New Roman"/>
          <w:lang w:val="en-US"/>
        </w:rPr>
      </w:pPr>
      <w:r w:rsidRPr="008011DD">
        <w:rPr>
          <w:rFonts w:eastAsia="Times New Roman"/>
          <w:color w:val="000000"/>
          <w:lang w:val="en-US"/>
        </w:rPr>
        <w:t>Dear Dr. Wood,</w:t>
      </w:r>
    </w:p>
    <w:p w14:paraId="3B51EAF6" w14:textId="77777777" w:rsidR="00F538E6" w:rsidRPr="008011DD" w:rsidRDefault="00F538E6" w:rsidP="00F538E6">
      <w:pPr>
        <w:spacing w:line="240" w:lineRule="auto"/>
        <w:rPr>
          <w:rFonts w:eastAsia="Times New Roman"/>
          <w:lang w:val="en-US"/>
        </w:rPr>
      </w:pPr>
    </w:p>
    <w:p w14:paraId="50AFA4E6" w14:textId="15B4F1D0" w:rsidR="00F538E6" w:rsidRPr="008011DD" w:rsidRDefault="00F538E6" w:rsidP="00F538E6">
      <w:pPr>
        <w:spacing w:line="240" w:lineRule="auto"/>
        <w:rPr>
          <w:rFonts w:eastAsia="Times New Roman"/>
          <w:lang w:val="en-US"/>
        </w:rPr>
      </w:pPr>
      <w:r w:rsidRPr="008011DD">
        <w:rPr>
          <w:rFonts w:eastAsia="Times New Roman"/>
          <w:color w:val="000000"/>
          <w:lang w:val="en-US"/>
        </w:rPr>
        <w:t>The Children’s Partnership is pleased to co-sponsor AB 2402 (Rubio), which will stabilize coverage and continuity of care for Medi-Cal children up to age 5 by providing multi-year continuous eligibility. This is similar to the current 12-month continuous Medi-Cal coverage provided to children, whereby children maintain coverage regardless of changes in eligibility within their first year of life. </w:t>
      </w:r>
    </w:p>
    <w:p w14:paraId="2C4021B6" w14:textId="4AD967BD" w:rsidR="00B742EA" w:rsidRPr="008011DD" w:rsidRDefault="00B742EA" w:rsidP="00B742EA">
      <w:pPr>
        <w:spacing w:before="240" w:after="240" w:line="240" w:lineRule="auto"/>
        <w:rPr>
          <w:rFonts w:ascii="Times New Roman" w:eastAsia="Times New Roman" w:hAnsi="Times New Roman" w:cs="Times New Roman"/>
          <w:lang w:val="en-US"/>
        </w:rPr>
      </w:pPr>
      <w:r w:rsidRPr="008011DD">
        <w:rPr>
          <w:rFonts w:eastAsia="Times New Roman"/>
          <w:b/>
          <w:bCs/>
          <w:i/>
          <w:iCs/>
          <w:color w:val="000000"/>
          <w:lang w:val="en-US"/>
        </w:rPr>
        <w:t xml:space="preserve">Continuous coverage </w:t>
      </w:r>
      <w:r w:rsidR="00D16D1C">
        <w:rPr>
          <w:rFonts w:eastAsia="Times New Roman"/>
          <w:b/>
          <w:bCs/>
          <w:i/>
          <w:iCs/>
          <w:color w:val="000000"/>
          <w:lang w:val="en-US"/>
        </w:rPr>
        <w:t xml:space="preserve">is an anti-racist approach to Medi-Cal enrollment. </w:t>
      </w:r>
      <w:r w:rsidRPr="008011DD">
        <w:rPr>
          <w:rFonts w:eastAsia="Times New Roman"/>
          <w:color w:val="000000"/>
          <w:lang w:val="en-US"/>
        </w:rPr>
        <w:t xml:space="preserve"> Even before the pandemic, long-standing, structurally racist policies and practices have created an environment where families of color experience a significant</w:t>
      </w:r>
      <w:r w:rsidR="00D16D1C">
        <w:rPr>
          <w:rFonts w:eastAsia="Times New Roman"/>
          <w:color w:val="000000"/>
          <w:lang w:val="en-US"/>
        </w:rPr>
        <w:t>ly</w:t>
      </w:r>
      <w:r w:rsidRPr="008011DD">
        <w:rPr>
          <w:rFonts w:eastAsia="Times New Roman"/>
          <w:color w:val="000000"/>
          <w:lang w:val="en-US"/>
        </w:rPr>
        <w:t xml:space="preserve"> greater degree of volatility in employment, income, and housing. These economic and housing </w:t>
      </w:r>
      <w:r w:rsidR="00930FF0">
        <w:rPr>
          <w:rFonts w:eastAsia="Times New Roman"/>
          <w:color w:val="000000"/>
          <w:lang w:val="en-US"/>
        </w:rPr>
        <w:t>conditions</w:t>
      </w:r>
      <w:r w:rsidR="00930FF0" w:rsidRPr="008011DD">
        <w:rPr>
          <w:rFonts w:eastAsia="Times New Roman"/>
          <w:color w:val="000000"/>
          <w:lang w:val="en-US"/>
        </w:rPr>
        <w:t xml:space="preserve"> </w:t>
      </w:r>
      <w:r w:rsidRPr="008011DD">
        <w:rPr>
          <w:rFonts w:eastAsia="Times New Roman"/>
          <w:color w:val="000000"/>
          <w:lang w:val="en-US"/>
        </w:rPr>
        <w:t>heighten the risk of disruptions in coverage, especially when combined with the additional administrative hurdles families face in enrolling in and renewing Medi-Cal as compared to other forms of coverage, such as employer-sponsored insurance.</w:t>
      </w:r>
      <w:r w:rsidR="00930FF0" w:rsidRPr="00930FF0">
        <w:rPr>
          <w:rFonts w:eastAsia="Times New Roman"/>
          <w:color w:val="000000"/>
          <w:lang w:val="en-US"/>
        </w:rPr>
        <w:t xml:space="preserve"> </w:t>
      </w:r>
      <w:r w:rsidR="00930FF0" w:rsidRPr="008011DD">
        <w:rPr>
          <w:rFonts w:eastAsia="Times New Roman"/>
          <w:color w:val="000000"/>
          <w:lang w:val="en-US"/>
        </w:rPr>
        <w:t xml:space="preserve">Because </w:t>
      </w:r>
      <w:r w:rsidR="00930FF0">
        <w:rPr>
          <w:rFonts w:eastAsia="Times New Roman"/>
          <w:color w:val="000000"/>
          <w:lang w:val="en-US"/>
        </w:rPr>
        <w:t>three out of four</w:t>
      </w:r>
      <w:r w:rsidR="00930FF0" w:rsidRPr="008011DD">
        <w:rPr>
          <w:rFonts w:eastAsia="Times New Roman"/>
          <w:color w:val="000000"/>
          <w:lang w:val="en-US"/>
        </w:rPr>
        <w:t xml:space="preserve"> Medi-Cal children are children of color, Medi-Cal can play a pivotal role in advancing equity by ensuring that BIPOC children have a healthy start, beginning with ensuring their health coverage is stable and continuous.</w:t>
      </w:r>
    </w:p>
    <w:p w14:paraId="1C2C854E" w14:textId="2B02694A" w:rsidR="00BC70DC" w:rsidRPr="008011DD" w:rsidRDefault="00BC70DC" w:rsidP="00BC70DC">
      <w:pPr>
        <w:spacing w:before="240" w:after="240" w:line="240" w:lineRule="auto"/>
        <w:rPr>
          <w:rFonts w:ascii="Times New Roman" w:eastAsia="Times New Roman" w:hAnsi="Times New Roman" w:cs="Times New Roman"/>
          <w:lang w:val="en-US"/>
        </w:rPr>
      </w:pPr>
      <w:r w:rsidRPr="008011DD">
        <w:rPr>
          <w:rFonts w:eastAsia="Times New Roman"/>
          <w:b/>
          <w:bCs/>
          <w:i/>
          <w:iCs/>
          <w:color w:val="000000"/>
          <w:shd w:val="clear" w:color="auto" w:fill="FFFFFF"/>
          <w:lang w:val="en-US"/>
        </w:rPr>
        <w:t>A</w:t>
      </w:r>
      <w:r w:rsidR="00404385" w:rsidRPr="008011DD">
        <w:rPr>
          <w:rFonts w:eastAsia="Times New Roman"/>
          <w:b/>
          <w:bCs/>
          <w:i/>
          <w:iCs/>
          <w:color w:val="000000"/>
          <w:shd w:val="clear" w:color="auto" w:fill="FFFFFF"/>
          <w:lang w:val="en-US"/>
        </w:rPr>
        <w:t>bout</w:t>
      </w:r>
      <w:r w:rsidRPr="008011DD">
        <w:rPr>
          <w:rFonts w:eastAsia="Times New Roman"/>
          <w:b/>
          <w:bCs/>
          <w:i/>
          <w:iCs/>
          <w:color w:val="000000"/>
          <w:shd w:val="clear" w:color="auto" w:fill="FFFFFF"/>
          <w:lang w:val="en-US"/>
        </w:rPr>
        <w:t xml:space="preserve"> nine percent or 90,00</w:t>
      </w:r>
      <w:r w:rsidR="00404385" w:rsidRPr="008011DD">
        <w:rPr>
          <w:rFonts w:eastAsia="Times New Roman"/>
          <w:b/>
          <w:bCs/>
          <w:i/>
          <w:iCs/>
          <w:color w:val="000000"/>
          <w:shd w:val="clear" w:color="auto" w:fill="FFFFFF"/>
          <w:lang w:val="en-US"/>
        </w:rPr>
        <w:t>0</w:t>
      </w:r>
      <w:r w:rsidRPr="008011DD">
        <w:rPr>
          <w:rFonts w:eastAsia="Times New Roman"/>
          <w:b/>
          <w:bCs/>
          <w:i/>
          <w:iCs/>
          <w:color w:val="000000"/>
          <w:shd w:val="clear" w:color="auto" w:fill="FFFFFF"/>
          <w:lang w:val="en-US"/>
        </w:rPr>
        <w:t xml:space="preserve"> children ages zero to five in California experience gaps in their Medi-Cal coverage, mostly due to administrative </w:t>
      </w:r>
      <w:r w:rsidR="00675DE0">
        <w:rPr>
          <w:rFonts w:eastAsia="Times New Roman"/>
          <w:b/>
          <w:bCs/>
          <w:i/>
          <w:iCs/>
          <w:color w:val="000000"/>
          <w:shd w:val="clear" w:color="auto" w:fill="FFFFFF"/>
          <w:lang w:val="en-US"/>
        </w:rPr>
        <w:t>barriers</w:t>
      </w:r>
      <w:r w:rsidRPr="008011DD">
        <w:rPr>
          <w:rFonts w:eastAsia="Times New Roman"/>
          <w:b/>
          <w:bCs/>
          <w:i/>
          <w:iCs/>
          <w:color w:val="000000"/>
          <w:shd w:val="clear" w:color="auto" w:fill="FFFFFF"/>
          <w:lang w:val="en-US"/>
        </w:rPr>
        <w:t xml:space="preserve">. </w:t>
      </w:r>
      <w:r w:rsidRPr="008011DD">
        <w:rPr>
          <w:rFonts w:eastAsia="Times New Roman"/>
          <w:color w:val="000000"/>
          <w:lang w:val="en-US"/>
        </w:rPr>
        <w:t xml:space="preserve">In California, the estimated average </w:t>
      </w:r>
      <w:r w:rsidR="002E649E" w:rsidRPr="008011DD">
        <w:rPr>
          <w:rFonts w:eastAsia="Times New Roman"/>
          <w:color w:val="000000"/>
          <w:lang w:val="en-US"/>
        </w:rPr>
        <w:t>gap</w:t>
      </w:r>
      <w:r w:rsidRPr="008011DD">
        <w:rPr>
          <w:rFonts w:eastAsia="Times New Roman"/>
          <w:color w:val="000000"/>
          <w:lang w:val="en-US"/>
        </w:rPr>
        <w:t xml:space="preserve"> </w:t>
      </w:r>
      <w:r w:rsidR="002E649E" w:rsidRPr="008011DD">
        <w:rPr>
          <w:rFonts w:eastAsia="Times New Roman"/>
          <w:color w:val="000000"/>
          <w:lang w:val="en-US"/>
        </w:rPr>
        <w:t>in</w:t>
      </w:r>
      <w:r w:rsidRPr="008011DD">
        <w:rPr>
          <w:rFonts w:eastAsia="Times New Roman"/>
          <w:color w:val="000000"/>
          <w:lang w:val="en-US"/>
        </w:rPr>
        <w:t xml:space="preserve"> Medi-Cal coverage </w:t>
      </w:r>
      <w:r w:rsidR="002E649E" w:rsidRPr="008011DD">
        <w:rPr>
          <w:rFonts w:eastAsia="Times New Roman"/>
          <w:color w:val="000000"/>
          <w:lang w:val="en-US"/>
        </w:rPr>
        <w:t xml:space="preserve">for children </w:t>
      </w:r>
      <w:r w:rsidRPr="008011DD">
        <w:rPr>
          <w:rFonts w:eastAsia="Times New Roman"/>
          <w:color w:val="000000"/>
          <w:lang w:val="en-US"/>
        </w:rPr>
        <w:t>is three to four months.</w:t>
      </w:r>
      <w:r w:rsidR="006A1252">
        <w:rPr>
          <w:rFonts w:eastAsia="Times New Roman"/>
          <w:color w:val="000000"/>
          <w:lang w:val="en-US"/>
        </w:rPr>
        <w:t xml:space="preserve"> According to the</w:t>
      </w:r>
      <w:r w:rsidRPr="008011DD">
        <w:rPr>
          <w:rFonts w:eastAsia="Times New Roman"/>
          <w:color w:val="000000"/>
          <w:lang w:val="en-US"/>
        </w:rPr>
        <w:t xml:space="preserve"> Department of Health Care Services</w:t>
      </w:r>
      <w:r w:rsidR="00675DE0">
        <w:rPr>
          <w:rFonts w:eastAsia="Times New Roman"/>
          <w:color w:val="000000"/>
          <w:lang w:val="en-US"/>
        </w:rPr>
        <w:t xml:space="preserve">, </w:t>
      </w:r>
      <w:r w:rsidR="00856649" w:rsidRPr="008011DD">
        <w:rPr>
          <w:rFonts w:eastAsia="Times New Roman"/>
          <w:color w:val="000000"/>
          <w:lang w:val="en-US"/>
        </w:rPr>
        <w:t xml:space="preserve">about half of children in </w:t>
      </w:r>
      <w:r w:rsidR="002E649E" w:rsidRPr="008011DD">
        <w:rPr>
          <w:rFonts w:eastAsia="Times New Roman"/>
          <w:color w:val="000000"/>
          <w:lang w:val="en-US"/>
        </w:rPr>
        <w:t>Medi-Cal</w:t>
      </w:r>
      <w:r w:rsidR="005E3B81" w:rsidRPr="008011DD">
        <w:rPr>
          <w:rFonts w:eastAsia="Times New Roman"/>
          <w:color w:val="000000"/>
          <w:lang w:val="en-US"/>
        </w:rPr>
        <w:t xml:space="preserve"> </w:t>
      </w:r>
      <w:r w:rsidR="00675DE0">
        <w:rPr>
          <w:rFonts w:eastAsia="Times New Roman"/>
          <w:color w:val="000000"/>
          <w:lang w:val="en-US"/>
        </w:rPr>
        <w:t>were initially terminated from</w:t>
      </w:r>
      <w:r w:rsidR="00675DE0" w:rsidRPr="008011DD">
        <w:rPr>
          <w:rFonts w:eastAsia="Times New Roman"/>
          <w:color w:val="000000"/>
          <w:lang w:val="en-US"/>
        </w:rPr>
        <w:t xml:space="preserve"> </w:t>
      </w:r>
      <w:r w:rsidR="005E3B81" w:rsidRPr="008011DD">
        <w:rPr>
          <w:rFonts w:eastAsia="Times New Roman"/>
          <w:color w:val="000000"/>
          <w:lang w:val="en-US"/>
        </w:rPr>
        <w:t xml:space="preserve">coverage </w:t>
      </w:r>
      <w:r w:rsidR="002E649E" w:rsidRPr="008011DD">
        <w:rPr>
          <w:rFonts w:eastAsia="Times New Roman"/>
          <w:color w:val="000000"/>
          <w:lang w:val="en-US"/>
        </w:rPr>
        <w:t xml:space="preserve">due </w:t>
      </w:r>
      <w:r w:rsidR="00856649" w:rsidRPr="008011DD">
        <w:rPr>
          <w:rFonts w:eastAsia="Times New Roman"/>
          <w:color w:val="000000"/>
          <w:lang w:val="en-US"/>
        </w:rPr>
        <w:t xml:space="preserve">to </w:t>
      </w:r>
      <w:r w:rsidRPr="008011DD">
        <w:rPr>
          <w:rFonts w:eastAsia="Times New Roman"/>
          <w:color w:val="000000"/>
          <w:lang w:val="en-US"/>
        </w:rPr>
        <w:t xml:space="preserve">a </w:t>
      </w:r>
      <w:r w:rsidR="00856649" w:rsidRPr="008011DD">
        <w:rPr>
          <w:rFonts w:eastAsia="Times New Roman"/>
          <w:color w:val="000000"/>
          <w:lang w:val="en-US"/>
        </w:rPr>
        <w:t>“</w:t>
      </w:r>
      <w:r w:rsidRPr="008011DD">
        <w:rPr>
          <w:rFonts w:eastAsia="Times New Roman"/>
          <w:color w:val="000000"/>
          <w:lang w:val="en-US"/>
        </w:rPr>
        <w:t xml:space="preserve">catch-all </w:t>
      </w:r>
      <w:r w:rsidR="00D744A6" w:rsidRPr="008011DD">
        <w:rPr>
          <w:rFonts w:eastAsia="Times New Roman"/>
          <w:color w:val="000000"/>
          <w:lang w:val="en-US"/>
        </w:rPr>
        <w:t>reason</w:t>
      </w:r>
      <w:r w:rsidR="00856649" w:rsidRPr="008011DD">
        <w:rPr>
          <w:rFonts w:eastAsia="Times New Roman"/>
          <w:color w:val="000000"/>
          <w:lang w:val="en-US"/>
        </w:rPr>
        <w:t>”</w:t>
      </w:r>
      <w:r w:rsidR="00D744A6" w:rsidRPr="008011DD">
        <w:rPr>
          <w:rFonts w:eastAsia="Times New Roman"/>
          <w:color w:val="000000"/>
          <w:lang w:val="en-US"/>
        </w:rPr>
        <w:t xml:space="preserve"> </w:t>
      </w:r>
      <w:r w:rsidRPr="008011DD">
        <w:rPr>
          <w:rFonts w:eastAsia="Times New Roman"/>
          <w:color w:val="000000"/>
          <w:lang w:val="en-US"/>
        </w:rPr>
        <w:t>categor</w:t>
      </w:r>
      <w:r w:rsidR="00D744A6" w:rsidRPr="008011DD">
        <w:rPr>
          <w:rFonts w:eastAsia="Times New Roman"/>
          <w:color w:val="000000"/>
          <w:lang w:val="en-US"/>
        </w:rPr>
        <w:t>ized as</w:t>
      </w:r>
      <w:r w:rsidRPr="008011DD">
        <w:rPr>
          <w:rFonts w:eastAsia="Times New Roman"/>
          <w:color w:val="000000"/>
          <w:lang w:val="en-US"/>
        </w:rPr>
        <w:t xml:space="preserve"> “failure to respond.” </w:t>
      </w:r>
      <w:r w:rsidR="00D744A6" w:rsidRPr="008011DD">
        <w:rPr>
          <w:rFonts w:eastAsia="Times New Roman"/>
          <w:color w:val="000000"/>
          <w:lang w:val="en-US"/>
        </w:rPr>
        <w:t xml:space="preserve">A </w:t>
      </w:r>
      <w:r w:rsidRPr="008011DD">
        <w:rPr>
          <w:rFonts w:eastAsia="Times New Roman"/>
          <w:color w:val="000000"/>
          <w:lang w:val="en-US"/>
        </w:rPr>
        <w:t xml:space="preserve">“failure to respond” </w:t>
      </w:r>
      <w:r w:rsidR="00D744A6" w:rsidRPr="008011DD">
        <w:rPr>
          <w:rFonts w:eastAsia="Times New Roman"/>
          <w:color w:val="000000"/>
          <w:lang w:val="en-US"/>
        </w:rPr>
        <w:t xml:space="preserve">termination </w:t>
      </w:r>
      <w:r w:rsidRPr="008011DD">
        <w:rPr>
          <w:rFonts w:eastAsia="Times New Roman"/>
          <w:color w:val="000000"/>
          <w:lang w:val="en-US"/>
        </w:rPr>
        <w:t>during the redetermination process may be driven by administrative hurdles (</w:t>
      </w:r>
      <w:proofErr w:type="gramStart"/>
      <w:r w:rsidR="00856649" w:rsidRPr="008011DD">
        <w:rPr>
          <w:rFonts w:eastAsia="Times New Roman"/>
          <w:color w:val="000000"/>
          <w:lang w:val="en-US"/>
        </w:rPr>
        <w:t>i.e.</w:t>
      </w:r>
      <w:proofErr w:type="gramEnd"/>
      <w:r w:rsidR="00856649" w:rsidRPr="008011DD">
        <w:rPr>
          <w:rFonts w:eastAsia="Times New Roman"/>
          <w:color w:val="000000"/>
          <w:lang w:val="en-US"/>
        </w:rPr>
        <w:t xml:space="preserve"> </w:t>
      </w:r>
      <w:r w:rsidRPr="008011DD">
        <w:rPr>
          <w:rFonts w:eastAsia="Times New Roman"/>
          <w:color w:val="000000"/>
          <w:lang w:val="en-US"/>
        </w:rPr>
        <w:t>not receiving required forms to current address, difficulty responding to additional documentation requirements), or housing insecurity</w:t>
      </w:r>
      <w:r w:rsidR="00856649" w:rsidRPr="008011DD">
        <w:rPr>
          <w:rFonts w:eastAsia="Times New Roman"/>
          <w:color w:val="000000"/>
          <w:lang w:val="en-US"/>
        </w:rPr>
        <w:t xml:space="preserve"> – </w:t>
      </w:r>
      <w:r w:rsidR="00D744A6" w:rsidRPr="008011DD">
        <w:rPr>
          <w:rFonts w:eastAsia="Times New Roman"/>
          <w:color w:val="000000"/>
          <w:lang w:val="en-US"/>
        </w:rPr>
        <w:t xml:space="preserve">namely </w:t>
      </w:r>
      <w:r w:rsidR="00856649" w:rsidRPr="008011DD">
        <w:rPr>
          <w:rFonts w:eastAsia="Times New Roman"/>
          <w:color w:val="000000"/>
          <w:lang w:val="en-US"/>
        </w:rPr>
        <w:t xml:space="preserve">showing how </w:t>
      </w:r>
      <w:r w:rsidR="00D744A6" w:rsidRPr="008011DD">
        <w:rPr>
          <w:rFonts w:eastAsia="Times New Roman"/>
          <w:color w:val="000000"/>
          <w:lang w:val="en-US"/>
        </w:rPr>
        <w:t>the system i</w:t>
      </w:r>
      <w:r w:rsidR="00856649" w:rsidRPr="008011DD">
        <w:rPr>
          <w:rFonts w:eastAsia="Times New Roman"/>
          <w:color w:val="000000"/>
          <w:lang w:val="en-US"/>
        </w:rPr>
        <w:t>s</w:t>
      </w:r>
      <w:r w:rsidR="00D744A6" w:rsidRPr="008011DD">
        <w:rPr>
          <w:rFonts w:eastAsia="Times New Roman"/>
          <w:color w:val="000000"/>
          <w:lang w:val="en-US"/>
        </w:rPr>
        <w:t xml:space="preserve"> failing to meet families</w:t>
      </w:r>
      <w:r w:rsidR="00856649" w:rsidRPr="008011DD">
        <w:rPr>
          <w:rFonts w:eastAsia="Times New Roman"/>
          <w:color w:val="000000"/>
          <w:lang w:val="en-US"/>
        </w:rPr>
        <w:t>’ needs</w:t>
      </w:r>
      <w:r w:rsidR="00D744A6" w:rsidRPr="008011DD">
        <w:rPr>
          <w:rFonts w:eastAsia="Times New Roman"/>
          <w:color w:val="000000"/>
          <w:lang w:val="en-US"/>
        </w:rPr>
        <w:t xml:space="preserve"> </w:t>
      </w:r>
      <w:r w:rsidR="00B742EA" w:rsidRPr="008011DD">
        <w:rPr>
          <w:rFonts w:eastAsia="Times New Roman"/>
          <w:color w:val="000000"/>
          <w:lang w:val="en-US"/>
        </w:rPr>
        <w:t>given their circumstances</w:t>
      </w:r>
      <w:r w:rsidR="00675DE0">
        <w:rPr>
          <w:rFonts w:eastAsia="Times New Roman"/>
          <w:color w:val="000000"/>
          <w:lang w:val="en-US"/>
        </w:rPr>
        <w:t xml:space="preserve">. Moreover, </w:t>
      </w:r>
      <w:r w:rsidR="00856649" w:rsidRPr="008011DD">
        <w:rPr>
          <w:rFonts w:eastAsia="Times New Roman"/>
          <w:color w:val="000000"/>
          <w:lang w:val="en-US"/>
        </w:rPr>
        <w:t xml:space="preserve">only a </w:t>
      </w:r>
      <w:r w:rsidRPr="008011DD">
        <w:rPr>
          <w:rFonts w:eastAsia="Times New Roman"/>
          <w:i/>
          <w:iCs/>
          <w:color w:val="000000"/>
          <w:lang w:val="en-US"/>
        </w:rPr>
        <w:t>very small fraction</w:t>
      </w:r>
      <w:r w:rsidR="00675DE0">
        <w:rPr>
          <w:rFonts w:eastAsia="Times New Roman"/>
          <w:i/>
          <w:iCs/>
          <w:color w:val="000000"/>
          <w:lang w:val="en-US"/>
        </w:rPr>
        <w:t xml:space="preserve"> of children</w:t>
      </w:r>
      <w:r w:rsidR="00C86555">
        <w:rPr>
          <w:rFonts w:eastAsia="Times New Roman"/>
          <w:i/>
          <w:iCs/>
          <w:color w:val="000000"/>
          <w:lang w:val="en-US"/>
        </w:rPr>
        <w:t xml:space="preserve"> with coverage gaps</w:t>
      </w:r>
      <w:r w:rsidR="00B204C3" w:rsidRPr="008011DD">
        <w:rPr>
          <w:rFonts w:eastAsia="Times New Roman"/>
          <w:i/>
          <w:iCs/>
          <w:color w:val="000000"/>
          <w:lang w:val="en-US"/>
        </w:rPr>
        <w:t xml:space="preserve"> </w:t>
      </w:r>
      <w:r w:rsidR="00675DE0">
        <w:rPr>
          <w:rFonts w:eastAsia="Times New Roman"/>
          <w:i/>
          <w:iCs/>
          <w:color w:val="000000"/>
          <w:lang w:val="en-US"/>
        </w:rPr>
        <w:t>are</w:t>
      </w:r>
      <w:r w:rsidR="00675DE0" w:rsidRPr="008011DD">
        <w:rPr>
          <w:rFonts w:eastAsia="Times New Roman"/>
          <w:i/>
          <w:iCs/>
          <w:color w:val="000000"/>
          <w:lang w:val="en-US"/>
        </w:rPr>
        <w:t xml:space="preserve"> </w:t>
      </w:r>
      <w:r w:rsidRPr="008011DD">
        <w:rPr>
          <w:rFonts w:eastAsia="Times New Roman"/>
          <w:i/>
          <w:iCs/>
          <w:color w:val="000000"/>
          <w:lang w:val="en-US"/>
        </w:rPr>
        <w:t>terminated due to income ineligibility.</w:t>
      </w:r>
      <w:r w:rsidRPr="008011DD">
        <w:rPr>
          <w:rFonts w:eastAsia="Times New Roman"/>
          <w:color w:val="000000"/>
          <w:lang w:val="en-US"/>
        </w:rPr>
        <w:t xml:space="preserve"> </w:t>
      </w:r>
    </w:p>
    <w:p w14:paraId="5B08C927" w14:textId="601B7776" w:rsidR="001202CC" w:rsidRPr="008011DD" w:rsidRDefault="001202CC" w:rsidP="001202CC">
      <w:pPr>
        <w:spacing w:before="240" w:after="240" w:line="240" w:lineRule="auto"/>
        <w:rPr>
          <w:rFonts w:ascii="Times New Roman" w:eastAsia="Times New Roman" w:hAnsi="Times New Roman" w:cs="Times New Roman"/>
          <w:lang w:val="en-US"/>
        </w:rPr>
      </w:pPr>
      <w:r w:rsidRPr="008011DD">
        <w:rPr>
          <w:rFonts w:eastAsia="Times New Roman"/>
          <w:b/>
          <w:bCs/>
          <w:i/>
          <w:iCs/>
          <w:color w:val="000000"/>
          <w:shd w:val="clear" w:color="auto" w:fill="FFFFFF"/>
          <w:lang w:val="en-US"/>
        </w:rPr>
        <w:t>Continuous coverage is foundational to healthy early childhood development</w:t>
      </w:r>
      <w:r w:rsidR="00404385" w:rsidRPr="008011DD">
        <w:rPr>
          <w:rFonts w:eastAsia="Times New Roman"/>
          <w:b/>
          <w:bCs/>
          <w:i/>
          <w:iCs/>
          <w:color w:val="000000"/>
          <w:shd w:val="clear" w:color="auto" w:fill="FFFFFF"/>
          <w:lang w:val="en-US"/>
        </w:rPr>
        <w:t>.</w:t>
      </w:r>
      <w:r w:rsidR="00404385" w:rsidRPr="008011DD">
        <w:rPr>
          <w:rFonts w:eastAsia="Times New Roman"/>
          <w:color w:val="000000"/>
          <w:shd w:val="clear" w:color="auto" w:fill="FFFFFF"/>
          <w:lang w:val="en-US"/>
        </w:rPr>
        <w:t xml:space="preserve"> Cycling on and off health insurance coverage—or churning—is disruptive to continuity of health care, especially for young children.</w:t>
      </w:r>
      <w:r w:rsidRPr="008011DD">
        <w:rPr>
          <w:rFonts w:eastAsia="Times New Roman"/>
          <w:b/>
          <w:bCs/>
          <w:i/>
          <w:iCs/>
          <w:color w:val="000000"/>
          <w:shd w:val="clear" w:color="auto" w:fill="FFFFFF"/>
          <w:lang w:val="en-US"/>
        </w:rPr>
        <w:t xml:space="preserve"> </w:t>
      </w:r>
      <w:r w:rsidRPr="008011DD">
        <w:rPr>
          <w:rFonts w:eastAsia="Times New Roman"/>
          <w:color w:val="000000"/>
          <w:shd w:val="clear" w:color="auto" w:fill="FFFFFF"/>
          <w:lang w:val="en-US"/>
        </w:rPr>
        <w:t xml:space="preserve">The first years </w:t>
      </w:r>
      <w:r w:rsidR="00675DE0">
        <w:rPr>
          <w:rFonts w:eastAsia="Times New Roman"/>
          <w:color w:val="000000"/>
          <w:shd w:val="clear" w:color="auto" w:fill="FFFFFF"/>
          <w:lang w:val="en-US"/>
        </w:rPr>
        <w:t>of</w:t>
      </w:r>
      <w:r w:rsidR="00675DE0" w:rsidRPr="008011DD">
        <w:rPr>
          <w:rFonts w:eastAsia="Times New Roman"/>
          <w:color w:val="000000"/>
          <w:shd w:val="clear" w:color="auto" w:fill="FFFFFF"/>
          <w:lang w:val="en-US"/>
        </w:rPr>
        <w:t xml:space="preserve"> </w:t>
      </w:r>
      <w:r w:rsidRPr="008011DD">
        <w:rPr>
          <w:rFonts w:eastAsia="Times New Roman"/>
          <w:color w:val="000000"/>
          <w:shd w:val="clear" w:color="auto" w:fill="FFFFFF"/>
          <w:lang w:val="en-US"/>
        </w:rPr>
        <w:t xml:space="preserve">a child’s life </w:t>
      </w:r>
      <w:r w:rsidR="00675DE0">
        <w:rPr>
          <w:rFonts w:eastAsia="Times New Roman"/>
          <w:color w:val="000000"/>
          <w:shd w:val="clear" w:color="auto" w:fill="FFFFFF"/>
          <w:lang w:val="en-US"/>
        </w:rPr>
        <w:t xml:space="preserve">is a </w:t>
      </w:r>
      <w:r w:rsidR="00715005">
        <w:rPr>
          <w:rFonts w:eastAsia="Times New Roman"/>
          <w:color w:val="000000"/>
          <w:shd w:val="clear" w:color="auto" w:fill="FFFFFF"/>
          <w:lang w:val="en-US"/>
        </w:rPr>
        <w:t>paramount</w:t>
      </w:r>
      <w:r w:rsidR="00675DE0">
        <w:rPr>
          <w:rFonts w:eastAsia="Times New Roman"/>
          <w:color w:val="000000"/>
          <w:shd w:val="clear" w:color="auto" w:fill="FFFFFF"/>
          <w:lang w:val="en-US"/>
        </w:rPr>
        <w:t xml:space="preserve"> </w:t>
      </w:r>
      <w:r w:rsidRPr="008011DD">
        <w:rPr>
          <w:rFonts w:eastAsia="Times New Roman"/>
          <w:color w:val="000000"/>
          <w:shd w:val="clear" w:color="auto" w:fill="FFFFFF"/>
          <w:lang w:val="en-US"/>
        </w:rPr>
        <w:t>opportunity to set them up for healthy outcomes</w:t>
      </w:r>
      <w:r w:rsidR="00675DE0">
        <w:rPr>
          <w:rFonts w:eastAsia="Times New Roman"/>
          <w:color w:val="000000"/>
          <w:shd w:val="clear" w:color="auto" w:fill="FFFFFF"/>
          <w:lang w:val="en-US"/>
        </w:rPr>
        <w:t xml:space="preserve"> throughout their lifetime</w:t>
      </w:r>
      <w:r w:rsidRPr="008011DD">
        <w:rPr>
          <w:rFonts w:eastAsia="Times New Roman"/>
          <w:color w:val="000000"/>
          <w:shd w:val="clear" w:color="auto" w:fill="FFFFFF"/>
          <w:lang w:val="en-US"/>
        </w:rPr>
        <w:t>. Ninety percent of brain development occurs during the first five years, a time when the American Academy of Pediatrics recommends children receive 14 well-child visits to administer critical preventive care like immunizations and track developmental milestones.</w:t>
      </w:r>
      <w:r w:rsidRPr="008011DD">
        <w:rPr>
          <w:rFonts w:eastAsia="Times New Roman"/>
          <w:color w:val="000000"/>
          <w:lang w:val="en-US"/>
        </w:rPr>
        <w:t xml:space="preserve">  Ensuring continuous coverage without administrative hurdles </w:t>
      </w:r>
      <w:r w:rsidRPr="008011DD">
        <w:rPr>
          <w:rFonts w:eastAsia="Times New Roman"/>
          <w:color w:val="000000"/>
          <w:lang w:val="en-US"/>
        </w:rPr>
        <w:lastRenderedPageBreak/>
        <w:t>can significantly contribute to improving continuity of care for young children</w:t>
      </w:r>
      <w:r w:rsidR="00856649" w:rsidRPr="008011DD">
        <w:rPr>
          <w:rFonts w:eastAsia="Times New Roman"/>
          <w:color w:val="000000"/>
          <w:lang w:val="en-US"/>
        </w:rPr>
        <w:t>. Additionally,</w:t>
      </w:r>
      <w:r w:rsidRPr="008011DD">
        <w:rPr>
          <w:rFonts w:eastAsia="Times New Roman"/>
          <w:color w:val="000000"/>
          <w:lang w:val="en-US"/>
        </w:rPr>
        <w:t xml:space="preserve"> c</w:t>
      </w:r>
      <w:r w:rsidRPr="008011DD">
        <w:rPr>
          <w:rFonts w:eastAsia="Times New Roman"/>
          <w:color w:val="000000"/>
          <w:shd w:val="clear" w:color="auto" w:fill="FFFFFF"/>
          <w:lang w:val="en-US"/>
        </w:rPr>
        <w:t xml:space="preserve">ontinuous coverage reduces the risk of insurance disruptions due to </w:t>
      </w:r>
      <w:r w:rsidRPr="008011DD">
        <w:rPr>
          <w:rFonts w:eastAsia="Times New Roman"/>
          <w:color w:val="000000"/>
          <w:lang w:val="en-US"/>
        </w:rPr>
        <w:t>procedural reasons.</w:t>
      </w:r>
    </w:p>
    <w:p w14:paraId="34F43D0B" w14:textId="5E1DFB40" w:rsidR="0006150D" w:rsidRPr="008011DD" w:rsidRDefault="0006150D" w:rsidP="0006150D">
      <w:pPr>
        <w:spacing w:before="240" w:after="240" w:line="240" w:lineRule="auto"/>
        <w:rPr>
          <w:rFonts w:ascii="Times New Roman" w:eastAsia="Times New Roman" w:hAnsi="Times New Roman" w:cs="Times New Roman"/>
          <w:lang w:val="en-US"/>
        </w:rPr>
      </w:pPr>
      <w:r w:rsidRPr="008011DD">
        <w:rPr>
          <w:rFonts w:eastAsia="Times New Roman"/>
          <w:b/>
          <w:bCs/>
          <w:i/>
          <w:iCs/>
          <w:color w:val="000000"/>
          <w:lang w:val="en-US"/>
        </w:rPr>
        <w:t>Access to p</w:t>
      </w:r>
      <w:r w:rsidR="00514051" w:rsidRPr="008011DD">
        <w:rPr>
          <w:rFonts w:eastAsia="Times New Roman"/>
          <w:b/>
          <w:bCs/>
          <w:i/>
          <w:iCs/>
          <w:color w:val="000000"/>
          <w:lang w:val="en-US"/>
        </w:rPr>
        <w:t>rimary</w:t>
      </w:r>
      <w:r w:rsidRPr="008011DD">
        <w:rPr>
          <w:rFonts w:eastAsia="Times New Roman"/>
          <w:b/>
          <w:bCs/>
          <w:i/>
          <w:iCs/>
          <w:color w:val="000000"/>
          <w:lang w:val="en-US"/>
        </w:rPr>
        <w:t xml:space="preserve"> care </w:t>
      </w:r>
      <w:r w:rsidR="00514051" w:rsidRPr="008011DD">
        <w:rPr>
          <w:rFonts w:eastAsia="Times New Roman"/>
          <w:b/>
          <w:bCs/>
          <w:i/>
          <w:iCs/>
          <w:color w:val="000000"/>
          <w:lang w:val="en-US"/>
        </w:rPr>
        <w:t>for Medi-Cal children</w:t>
      </w:r>
      <w:r w:rsidRPr="008011DD">
        <w:rPr>
          <w:rFonts w:eastAsia="Times New Roman"/>
          <w:b/>
          <w:bCs/>
          <w:i/>
          <w:iCs/>
          <w:color w:val="000000"/>
          <w:lang w:val="en-US"/>
        </w:rPr>
        <w:t xml:space="preserve"> is historically low and </w:t>
      </w:r>
      <w:r w:rsidR="00856649" w:rsidRPr="008011DD">
        <w:rPr>
          <w:rFonts w:eastAsia="Times New Roman"/>
          <w:b/>
          <w:bCs/>
          <w:i/>
          <w:iCs/>
          <w:color w:val="000000"/>
          <w:lang w:val="en-US"/>
        </w:rPr>
        <w:t xml:space="preserve">has </w:t>
      </w:r>
      <w:r w:rsidR="00066D42">
        <w:rPr>
          <w:rFonts w:eastAsia="Times New Roman"/>
          <w:b/>
          <w:bCs/>
          <w:i/>
          <w:iCs/>
          <w:color w:val="000000"/>
          <w:lang w:val="en-US"/>
        </w:rPr>
        <w:t>worsened during</w:t>
      </w:r>
      <w:r w:rsidRPr="008011DD">
        <w:rPr>
          <w:rFonts w:eastAsia="Times New Roman"/>
          <w:b/>
          <w:bCs/>
          <w:i/>
          <w:iCs/>
          <w:color w:val="000000"/>
          <w:lang w:val="en-US"/>
        </w:rPr>
        <w:t xml:space="preserve"> the pandemic.</w:t>
      </w:r>
      <w:r w:rsidRPr="008011DD">
        <w:rPr>
          <w:rFonts w:eastAsia="Times New Roman"/>
          <w:color w:val="000000"/>
          <w:lang w:val="en-US"/>
        </w:rPr>
        <w:t xml:space="preserve"> A 201</w:t>
      </w:r>
      <w:r w:rsidR="007D1A61" w:rsidRPr="008011DD">
        <w:rPr>
          <w:rFonts w:eastAsia="Times New Roman"/>
          <w:color w:val="000000"/>
          <w:lang w:val="en-US"/>
        </w:rPr>
        <w:t>9</w:t>
      </w:r>
      <w:r w:rsidRPr="008011DD">
        <w:rPr>
          <w:rFonts w:eastAsia="Times New Roman"/>
          <w:color w:val="000000"/>
          <w:lang w:val="en-US"/>
        </w:rPr>
        <w:t xml:space="preserve"> audit of Medi-Cal children’s primary care showed preventive care utilization for one-year </w:t>
      </w:r>
      <w:proofErr w:type="spellStart"/>
      <w:r w:rsidR="008011DD" w:rsidRPr="008011DD">
        <w:rPr>
          <w:rFonts w:eastAsia="Times New Roman"/>
          <w:color w:val="000000"/>
          <w:lang w:val="en-US"/>
        </w:rPr>
        <w:t>olds</w:t>
      </w:r>
      <w:proofErr w:type="spellEnd"/>
      <w:r w:rsidRPr="008011DD">
        <w:rPr>
          <w:rFonts w:eastAsia="Times New Roman"/>
          <w:color w:val="000000"/>
          <w:lang w:val="en-US"/>
        </w:rPr>
        <w:t xml:space="preserve"> was as low as 39 percent, and for two-year</w:t>
      </w:r>
      <w:r w:rsidR="00C86555">
        <w:rPr>
          <w:rFonts w:eastAsia="Times New Roman"/>
          <w:color w:val="000000"/>
          <w:lang w:val="en-US"/>
        </w:rPr>
        <w:t>-</w:t>
      </w:r>
      <w:proofErr w:type="spellStart"/>
      <w:r w:rsidRPr="008011DD">
        <w:rPr>
          <w:rFonts w:eastAsia="Times New Roman"/>
          <w:color w:val="000000"/>
          <w:lang w:val="en-US"/>
        </w:rPr>
        <w:t>olds</w:t>
      </w:r>
      <w:proofErr w:type="spellEnd"/>
      <w:r w:rsidRPr="008011DD">
        <w:rPr>
          <w:rFonts w:eastAsia="Times New Roman"/>
          <w:color w:val="000000"/>
          <w:lang w:val="en-US"/>
        </w:rPr>
        <w:t>, a dismal 24 percent. A DHCS preventive care report found that only 25 percent of children under age three in Medi-Cal managed care received necessary developmental screenings and only 26 percent received all their recommended well-child visits in the first 15 months of life.</w:t>
      </w:r>
    </w:p>
    <w:p w14:paraId="18D69BCD" w14:textId="415E295D" w:rsidR="0006150D" w:rsidRPr="008011DD" w:rsidRDefault="0006150D" w:rsidP="00F3183A">
      <w:pPr>
        <w:spacing w:before="240" w:after="240" w:line="240" w:lineRule="auto"/>
        <w:rPr>
          <w:rFonts w:eastAsia="Times New Roman"/>
          <w:color w:val="000000"/>
          <w:lang w:val="en-US"/>
        </w:rPr>
      </w:pPr>
      <w:r w:rsidRPr="008011DD">
        <w:rPr>
          <w:rFonts w:eastAsia="Times New Roman"/>
          <w:color w:val="000000"/>
          <w:lang w:val="en-US"/>
        </w:rPr>
        <w:t xml:space="preserve">During the </w:t>
      </w:r>
      <w:r w:rsidR="00514051" w:rsidRPr="008011DD">
        <w:rPr>
          <w:rFonts w:eastAsia="Times New Roman"/>
          <w:color w:val="000000"/>
          <w:lang w:val="en-US"/>
        </w:rPr>
        <w:t xml:space="preserve">COVID-19 </w:t>
      </w:r>
      <w:r w:rsidRPr="008011DD">
        <w:rPr>
          <w:rFonts w:eastAsia="Times New Roman"/>
          <w:color w:val="000000"/>
          <w:lang w:val="en-US"/>
        </w:rPr>
        <w:t>pandemic, pediatric primary care dropped significantly</w:t>
      </w:r>
      <w:r w:rsidR="001C14C5" w:rsidRPr="008011DD">
        <w:rPr>
          <w:rFonts w:eastAsia="Times New Roman"/>
          <w:color w:val="000000"/>
          <w:lang w:val="en-US"/>
        </w:rPr>
        <w:t xml:space="preserve"> and has not fully recovered. </w:t>
      </w:r>
      <w:r w:rsidRPr="008011DD">
        <w:rPr>
          <w:rFonts w:eastAsia="Times New Roman"/>
          <w:color w:val="000000"/>
          <w:lang w:val="en-US"/>
        </w:rPr>
        <w:t xml:space="preserve">That means far </w:t>
      </w:r>
      <w:r w:rsidR="00514051" w:rsidRPr="008011DD">
        <w:rPr>
          <w:rFonts w:eastAsia="Times New Roman"/>
          <w:color w:val="000000"/>
          <w:lang w:val="en-US"/>
        </w:rPr>
        <w:t xml:space="preserve">more </w:t>
      </w:r>
      <w:r w:rsidRPr="008011DD">
        <w:rPr>
          <w:rFonts w:eastAsia="Times New Roman"/>
          <w:color w:val="000000"/>
          <w:lang w:val="en-US"/>
        </w:rPr>
        <w:t xml:space="preserve">children </w:t>
      </w:r>
      <w:r w:rsidR="00514051" w:rsidRPr="008011DD">
        <w:rPr>
          <w:rFonts w:eastAsia="Times New Roman"/>
          <w:color w:val="000000"/>
          <w:lang w:val="en-US"/>
        </w:rPr>
        <w:t xml:space="preserve">missed </w:t>
      </w:r>
      <w:r w:rsidRPr="008011DD">
        <w:rPr>
          <w:rFonts w:eastAsia="Times New Roman"/>
          <w:color w:val="000000"/>
          <w:lang w:val="en-US"/>
        </w:rPr>
        <w:t xml:space="preserve">their necessary well-child visits, </w:t>
      </w:r>
      <w:r w:rsidR="00514051" w:rsidRPr="008011DD">
        <w:rPr>
          <w:rFonts w:eastAsia="Times New Roman"/>
          <w:color w:val="000000"/>
          <w:lang w:val="en-US"/>
        </w:rPr>
        <w:t xml:space="preserve">screenings and vaccinations </w:t>
      </w:r>
      <w:r w:rsidRPr="008011DD">
        <w:rPr>
          <w:rFonts w:eastAsia="Times New Roman"/>
          <w:color w:val="000000"/>
          <w:lang w:val="en-US"/>
        </w:rPr>
        <w:t xml:space="preserve">over the last two years. </w:t>
      </w:r>
      <w:r w:rsidR="00066D42">
        <w:rPr>
          <w:rFonts w:eastAsia="Times New Roman"/>
          <w:color w:val="000000"/>
          <w:lang w:val="en-US"/>
        </w:rPr>
        <w:t>Historically, children of color</w:t>
      </w:r>
      <w:r w:rsidR="00436692">
        <w:rPr>
          <w:rFonts w:eastAsia="Times New Roman"/>
          <w:color w:val="000000"/>
          <w:lang w:val="en-US"/>
        </w:rPr>
        <w:t xml:space="preserve"> </w:t>
      </w:r>
      <w:r w:rsidR="00F3183A">
        <w:rPr>
          <w:rFonts w:eastAsia="Times New Roman"/>
          <w:color w:val="000000"/>
          <w:lang w:val="en-US"/>
        </w:rPr>
        <w:t>are more likely to</w:t>
      </w:r>
      <w:r w:rsidR="00F3183A" w:rsidRPr="00F3183A">
        <w:rPr>
          <w:rFonts w:eastAsia="Times New Roman"/>
          <w:color w:val="000000"/>
          <w:lang w:val="en-US"/>
        </w:rPr>
        <w:t xml:space="preserve"> </w:t>
      </w:r>
      <w:r w:rsidR="00F3183A">
        <w:rPr>
          <w:rFonts w:eastAsia="Times New Roman"/>
          <w:color w:val="000000"/>
          <w:lang w:val="en-US"/>
        </w:rPr>
        <w:t>not r</w:t>
      </w:r>
      <w:r w:rsidR="00F3183A" w:rsidRPr="00F3183A">
        <w:rPr>
          <w:rFonts w:eastAsia="Times New Roman"/>
          <w:color w:val="000000"/>
          <w:lang w:val="en-US"/>
        </w:rPr>
        <w:t>eceive the evaluations and services for which they are eligible.</w:t>
      </w:r>
      <w:r w:rsidR="00F3183A">
        <w:rPr>
          <w:rFonts w:eastAsia="Times New Roman"/>
          <w:color w:val="000000"/>
          <w:lang w:val="en-US"/>
        </w:rPr>
        <w:t xml:space="preserve"> </w:t>
      </w:r>
      <w:r w:rsidRPr="008011DD">
        <w:rPr>
          <w:rFonts w:eastAsia="Times New Roman"/>
          <w:color w:val="000000"/>
          <w:lang w:val="en-US"/>
        </w:rPr>
        <w:t>Children who experience gaps in their health coverage will fall even further behind.</w:t>
      </w:r>
    </w:p>
    <w:p w14:paraId="143792E9" w14:textId="6CD4E726" w:rsidR="001F5590" w:rsidRPr="008011DD" w:rsidRDefault="001F5590" w:rsidP="00256805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8011DD">
        <w:rPr>
          <w:rFonts w:eastAsia="Times New Roman"/>
          <w:b/>
          <w:bCs/>
          <w:color w:val="000000"/>
          <w:lang w:val="en-US"/>
        </w:rPr>
        <w:t xml:space="preserve">A </w:t>
      </w:r>
      <w:r w:rsidR="00436692">
        <w:rPr>
          <w:rFonts w:eastAsia="Times New Roman"/>
          <w:b/>
          <w:bCs/>
          <w:color w:val="000000"/>
          <w:lang w:val="en-US"/>
        </w:rPr>
        <w:t>c</w:t>
      </w:r>
      <w:r w:rsidRPr="008011DD">
        <w:rPr>
          <w:rFonts w:eastAsia="Times New Roman"/>
          <w:b/>
          <w:bCs/>
          <w:color w:val="000000"/>
          <w:lang w:val="en-US"/>
        </w:rPr>
        <w:t xml:space="preserve">ontinuous </w:t>
      </w:r>
      <w:r w:rsidR="00436692">
        <w:rPr>
          <w:rFonts w:eastAsia="Times New Roman"/>
          <w:b/>
          <w:bCs/>
          <w:color w:val="000000"/>
          <w:lang w:val="en-US"/>
        </w:rPr>
        <w:t>c</w:t>
      </w:r>
      <w:r w:rsidRPr="008011DD">
        <w:rPr>
          <w:rFonts w:eastAsia="Times New Roman"/>
          <w:b/>
          <w:bCs/>
          <w:color w:val="000000"/>
          <w:lang w:val="en-US"/>
        </w:rPr>
        <w:t>overage policy for young children will protect them from losing coverage after the pandemic public health emergency ends.</w:t>
      </w:r>
      <w:r w:rsidRPr="008011DD">
        <w:rPr>
          <w:rFonts w:eastAsia="Times New Roman"/>
          <w:color w:val="000000"/>
          <w:lang w:val="en-US"/>
        </w:rPr>
        <w:t xml:space="preserve"> Under the current national (PHE), all Medi-Cal enrollees have temporary continuous enrollment. However, this protection may expire sometime in 2022</w:t>
      </w:r>
      <w:r w:rsidR="00436692">
        <w:rPr>
          <w:rFonts w:eastAsia="Times New Roman"/>
          <w:color w:val="000000"/>
          <w:lang w:val="en-US"/>
        </w:rPr>
        <w:t xml:space="preserve"> as the PHE authority comes to an end</w:t>
      </w:r>
      <w:r w:rsidRPr="008011DD">
        <w:rPr>
          <w:rFonts w:eastAsia="Times New Roman"/>
          <w:color w:val="000000"/>
          <w:lang w:val="en-US"/>
        </w:rPr>
        <w:t xml:space="preserve">. States will have to recheck eligibility for everyone enrolled in Medicaid including children. Many children are estimated to lose coverage during this </w:t>
      </w:r>
      <w:r w:rsidR="0007684A">
        <w:rPr>
          <w:rFonts w:eastAsia="Times New Roman"/>
          <w:color w:val="000000"/>
          <w:lang w:val="en-US"/>
        </w:rPr>
        <w:t>PHE “unwinding” period</w:t>
      </w:r>
      <w:r w:rsidRPr="008011DD">
        <w:rPr>
          <w:rFonts w:eastAsia="Times New Roman"/>
          <w:color w:val="000000"/>
          <w:lang w:val="en-US"/>
        </w:rPr>
        <w:t xml:space="preserve">, making it even more critical that California act to provide ongoing continuous coverage for young children. </w:t>
      </w:r>
    </w:p>
    <w:p w14:paraId="34806DA1" w14:textId="77777777" w:rsidR="00256805" w:rsidRPr="008011DD" w:rsidRDefault="00256805" w:rsidP="00256805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2076024E" w14:textId="44BFAA2E" w:rsidR="00B742EA" w:rsidRPr="008011DD" w:rsidRDefault="00B742EA" w:rsidP="00B742EA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8011DD">
        <w:rPr>
          <w:rFonts w:eastAsia="Times New Roman"/>
          <w:b/>
          <w:bCs/>
          <w:color w:val="000000"/>
          <w:lang w:val="en-US"/>
        </w:rPr>
        <w:t xml:space="preserve">Reducing </w:t>
      </w:r>
      <w:r w:rsidR="001C14C5" w:rsidRPr="008011DD">
        <w:rPr>
          <w:rFonts w:eastAsia="Times New Roman"/>
          <w:b/>
          <w:bCs/>
          <w:color w:val="000000"/>
          <w:lang w:val="en-US"/>
        </w:rPr>
        <w:t xml:space="preserve">gaps in coverage could help </w:t>
      </w:r>
      <w:r w:rsidR="00F53B8E" w:rsidRPr="008011DD">
        <w:rPr>
          <w:rFonts w:eastAsia="Times New Roman"/>
          <w:b/>
          <w:bCs/>
          <w:color w:val="000000"/>
          <w:lang w:val="en-US"/>
        </w:rPr>
        <w:t>meet DHCS’ “bold”</w:t>
      </w:r>
      <w:r w:rsidR="00C86555">
        <w:rPr>
          <w:rFonts w:eastAsia="Times New Roman"/>
          <w:b/>
          <w:bCs/>
          <w:color w:val="000000"/>
          <w:lang w:val="en-US"/>
        </w:rPr>
        <w:t xml:space="preserve"> </w:t>
      </w:r>
      <w:r w:rsidR="00F53B8E" w:rsidRPr="008011DD">
        <w:rPr>
          <w:rFonts w:eastAsia="Times New Roman"/>
          <w:b/>
          <w:bCs/>
          <w:color w:val="000000"/>
          <w:lang w:val="en-US"/>
        </w:rPr>
        <w:t xml:space="preserve">quality goals. </w:t>
      </w:r>
      <w:r w:rsidR="00F53B8E" w:rsidRPr="00C86555">
        <w:rPr>
          <w:rFonts w:eastAsia="Times New Roman"/>
          <w:color w:val="000000"/>
          <w:lang w:val="en-US"/>
        </w:rPr>
        <w:t>DHCS</w:t>
      </w:r>
      <w:r w:rsidR="00F53B8E" w:rsidRPr="008011DD">
        <w:rPr>
          <w:rFonts w:eastAsia="Times New Roman"/>
          <w:b/>
          <w:bCs/>
          <w:color w:val="000000"/>
          <w:lang w:val="en-US"/>
        </w:rPr>
        <w:t xml:space="preserve"> </w:t>
      </w:r>
      <w:r w:rsidR="00F53B8E" w:rsidRPr="008011DD">
        <w:rPr>
          <w:rFonts w:eastAsia="Times New Roman"/>
          <w:color w:val="000000"/>
          <w:lang w:val="en-US"/>
        </w:rPr>
        <w:t>recently released its Comprehensive Quality Strategy which prioritizes children’s preventive care</w:t>
      </w:r>
      <w:r w:rsidR="00F3183A">
        <w:rPr>
          <w:rFonts w:eastAsia="Times New Roman"/>
          <w:color w:val="000000"/>
          <w:lang w:val="en-US"/>
        </w:rPr>
        <w:t xml:space="preserve">, including </w:t>
      </w:r>
      <w:r w:rsidR="00F3183A" w:rsidRPr="00F3183A">
        <w:rPr>
          <w:rFonts w:eastAsia="Times New Roman"/>
          <w:color w:val="000000"/>
          <w:lang w:val="en-US"/>
        </w:rPr>
        <w:t>reducing racial and ethnic disparities in well-child visits, immunizations, and maternity care for Black and Native American people by 50% in just four years</w:t>
      </w:r>
      <w:r w:rsidR="00F53B8E" w:rsidRPr="008011DD">
        <w:rPr>
          <w:rFonts w:eastAsia="Times New Roman"/>
          <w:color w:val="000000"/>
          <w:lang w:val="en-US"/>
        </w:rPr>
        <w:t xml:space="preserve">. Continuous coverage is a necessary tool for meeting the quality goals of improved preventive care rates. </w:t>
      </w:r>
      <w:r w:rsidRPr="008011DD">
        <w:rPr>
          <w:rFonts w:eastAsia="Times New Roman"/>
          <w:color w:val="000000"/>
          <w:lang w:val="en-US"/>
        </w:rPr>
        <w:t>Health plans with continuously enrolled children are better able to ensure th</w:t>
      </w:r>
      <w:r w:rsidR="008011DD" w:rsidRPr="008011DD">
        <w:rPr>
          <w:rFonts w:eastAsia="Times New Roman"/>
          <w:color w:val="000000"/>
          <w:lang w:val="en-US"/>
        </w:rPr>
        <w:t>at</w:t>
      </w:r>
      <w:r w:rsidR="001F5590" w:rsidRPr="008011DD">
        <w:rPr>
          <w:rFonts w:eastAsia="Times New Roman"/>
          <w:color w:val="000000"/>
          <w:lang w:val="en-US"/>
        </w:rPr>
        <w:t xml:space="preserve"> children</w:t>
      </w:r>
      <w:r w:rsidRPr="008011DD">
        <w:rPr>
          <w:rFonts w:eastAsia="Times New Roman"/>
          <w:color w:val="000000"/>
          <w:lang w:val="en-US"/>
        </w:rPr>
        <w:t xml:space="preserve"> receive preventive care and</w:t>
      </w:r>
      <w:r w:rsidR="00B204C3" w:rsidRPr="008011DD">
        <w:rPr>
          <w:rFonts w:eastAsia="Times New Roman"/>
          <w:color w:val="000000"/>
          <w:lang w:val="en-US"/>
        </w:rPr>
        <w:t>, thus,</w:t>
      </w:r>
      <w:r w:rsidRPr="008011DD">
        <w:rPr>
          <w:rFonts w:eastAsia="Times New Roman"/>
          <w:color w:val="000000"/>
          <w:lang w:val="en-US"/>
        </w:rPr>
        <w:t xml:space="preserve"> meet quality metrics. </w:t>
      </w:r>
    </w:p>
    <w:p w14:paraId="2B5F5735" w14:textId="77777777" w:rsidR="00F538E6" w:rsidRPr="008011DD" w:rsidRDefault="00F538E6" w:rsidP="00F538E6">
      <w:pPr>
        <w:spacing w:line="240" w:lineRule="auto"/>
        <w:rPr>
          <w:rFonts w:eastAsia="Times New Roman"/>
          <w:lang w:val="en-US"/>
        </w:rPr>
      </w:pPr>
    </w:p>
    <w:p w14:paraId="03A164F9" w14:textId="318B6809" w:rsidR="00F538E6" w:rsidRPr="008011DD" w:rsidRDefault="00F538E6" w:rsidP="00F538E6">
      <w:pPr>
        <w:spacing w:line="240" w:lineRule="auto"/>
        <w:rPr>
          <w:rFonts w:eastAsia="Times New Roman"/>
          <w:lang w:val="en-US"/>
        </w:rPr>
      </w:pPr>
      <w:r w:rsidRPr="008011DD">
        <w:rPr>
          <w:rFonts w:eastAsia="Times New Roman"/>
          <w:color w:val="000000"/>
          <w:lang w:val="en-US"/>
        </w:rPr>
        <w:t xml:space="preserve">AB 2402 will address gaps in </w:t>
      </w:r>
      <w:r w:rsidR="001F5590" w:rsidRPr="008011DD">
        <w:rPr>
          <w:rFonts w:eastAsia="Times New Roman"/>
          <w:color w:val="000000"/>
          <w:lang w:val="en-US"/>
        </w:rPr>
        <w:t xml:space="preserve">coverage and improve </w:t>
      </w:r>
      <w:r w:rsidR="00256805" w:rsidRPr="008011DD">
        <w:rPr>
          <w:rFonts w:eastAsia="Times New Roman"/>
          <w:color w:val="000000"/>
          <w:lang w:val="en-US"/>
        </w:rPr>
        <w:t>preventive care</w:t>
      </w:r>
      <w:r w:rsidRPr="008011DD">
        <w:rPr>
          <w:rFonts w:eastAsia="Times New Roman"/>
          <w:color w:val="000000"/>
          <w:lang w:val="en-US"/>
        </w:rPr>
        <w:t xml:space="preserve"> for California’s youngest children, </w:t>
      </w:r>
      <w:r w:rsidR="00256805" w:rsidRPr="008011DD">
        <w:rPr>
          <w:rFonts w:eastAsia="Times New Roman"/>
          <w:color w:val="000000"/>
          <w:lang w:val="en-US"/>
        </w:rPr>
        <w:t>setting them on a path of healthy childhood development</w:t>
      </w:r>
      <w:r w:rsidRPr="008011DD">
        <w:rPr>
          <w:rFonts w:eastAsia="Times New Roman"/>
          <w:color w:val="000000"/>
          <w:lang w:val="en-US"/>
        </w:rPr>
        <w:t xml:space="preserve">. </w:t>
      </w:r>
      <w:r w:rsidR="00B204C3" w:rsidRPr="008011DD">
        <w:rPr>
          <w:rFonts w:eastAsia="Times New Roman"/>
          <w:color w:val="000000"/>
          <w:lang w:val="en-US"/>
        </w:rPr>
        <w:t xml:space="preserve">For these reasons, The Children’s Partnership </w:t>
      </w:r>
      <w:r w:rsidR="00436692">
        <w:rPr>
          <w:rFonts w:eastAsia="Times New Roman"/>
          <w:color w:val="000000"/>
          <w:lang w:val="en-US"/>
        </w:rPr>
        <w:t xml:space="preserve">proudly </w:t>
      </w:r>
      <w:r w:rsidR="00B204C3" w:rsidRPr="008011DD">
        <w:rPr>
          <w:rFonts w:eastAsia="Times New Roman"/>
          <w:color w:val="000000"/>
          <w:lang w:val="en-US"/>
        </w:rPr>
        <w:t>co</w:t>
      </w:r>
      <w:r w:rsidR="008011DD" w:rsidRPr="008011DD">
        <w:rPr>
          <w:rFonts w:eastAsia="Times New Roman"/>
          <w:color w:val="000000"/>
          <w:lang w:val="en-US"/>
        </w:rPr>
        <w:t>-</w:t>
      </w:r>
      <w:r w:rsidR="00B204C3" w:rsidRPr="008011DD">
        <w:rPr>
          <w:rFonts w:eastAsia="Times New Roman"/>
          <w:color w:val="000000"/>
          <w:lang w:val="en-US"/>
        </w:rPr>
        <w:t xml:space="preserve">sponsors </w:t>
      </w:r>
      <w:r w:rsidRPr="008011DD">
        <w:rPr>
          <w:rFonts w:eastAsia="Times New Roman"/>
          <w:color w:val="000000"/>
          <w:lang w:val="en-US"/>
        </w:rPr>
        <w:t xml:space="preserve">AB 2402 and urges an </w:t>
      </w:r>
      <w:r w:rsidR="008011DD" w:rsidRPr="008011DD">
        <w:rPr>
          <w:rFonts w:eastAsia="Times New Roman"/>
          <w:color w:val="000000"/>
          <w:lang w:val="en-US"/>
        </w:rPr>
        <w:t>“</w:t>
      </w:r>
      <w:r w:rsidRPr="008011DD">
        <w:rPr>
          <w:rFonts w:eastAsia="Times New Roman"/>
          <w:color w:val="000000"/>
          <w:lang w:val="en-US"/>
        </w:rPr>
        <w:t>Aye</w:t>
      </w:r>
      <w:r w:rsidR="008011DD" w:rsidRPr="008011DD">
        <w:rPr>
          <w:rFonts w:eastAsia="Times New Roman"/>
          <w:color w:val="000000"/>
          <w:lang w:val="en-US"/>
        </w:rPr>
        <w:t>”</w:t>
      </w:r>
      <w:r w:rsidRPr="008011DD">
        <w:rPr>
          <w:rFonts w:eastAsia="Times New Roman"/>
          <w:color w:val="000000"/>
          <w:lang w:val="en-US"/>
        </w:rPr>
        <w:t xml:space="preserve"> vote on the measure. </w:t>
      </w:r>
    </w:p>
    <w:p w14:paraId="61AB5A54" w14:textId="77777777" w:rsidR="00F538E6" w:rsidRPr="008011DD" w:rsidRDefault="00F538E6" w:rsidP="00F538E6">
      <w:pPr>
        <w:spacing w:line="240" w:lineRule="auto"/>
        <w:rPr>
          <w:rFonts w:eastAsia="Times New Roman"/>
          <w:lang w:val="en-US"/>
        </w:rPr>
      </w:pPr>
    </w:p>
    <w:p w14:paraId="05B5395D" w14:textId="77777777" w:rsidR="00F538E6" w:rsidRPr="008011DD" w:rsidRDefault="00F538E6" w:rsidP="00F538E6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8011DD">
        <w:rPr>
          <w:rFonts w:eastAsia="Times New Roman"/>
          <w:color w:val="000000"/>
          <w:lang w:val="en-US"/>
        </w:rPr>
        <w:t>Sincerely,</w:t>
      </w:r>
    </w:p>
    <w:p w14:paraId="14664708" w14:textId="6121F613" w:rsidR="00F538E6" w:rsidRDefault="0013103A" w:rsidP="00F538E6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eastAsiaTheme="minorEastAsia"/>
          <w:i/>
          <w:iCs/>
          <w:noProof/>
          <w:color w:val="0070C0"/>
        </w:rPr>
        <w:drawing>
          <wp:inline distT="0" distB="0" distL="0" distR="0" wp14:anchorId="6EEA1263" wp14:editId="24D057DA">
            <wp:extent cx="1724891" cy="701052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133" cy="71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4102B" w14:textId="70D8AFF4" w:rsidR="0013103A" w:rsidRPr="0013103A" w:rsidRDefault="0013103A" w:rsidP="00F538E6">
      <w:pPr>
        <w:spacing w:line="240" w:lineRule="auto"/>
        <w:rPr>
          <w:rFonts w:eastAsia="Times New Roman"/>
          <w:lang w:val="en-US"/>
        </w:rPr>
      </w:pPr>
      <w:proofErr w:type="spellStart"/>
      <w:r w:rsidRPr="0013103A">
        <w:rPr>
          <w:rFonts w:eastAsia="Times New Roman"/>
          <w:lang w:val="en-US"/>
        </w:rPr>
        <w:t>Marya</w:t>
      </w:r>
      <w:proofErr w:type="spellEnd"/>
      <w:r w:rsidRPr="0013103A">
        <w:rPr>
          <w:rFonts w:eastAsia="Times New Roman"/>
          <w:lang w:val="en-US"/>
        </w:rPr>
        <w:t xml:space="preserve"> Alvarez</w:t>
      </w:r>
    </w:p>
    <w:p w14:paraId="43E30A25" w14:textId="21C0BBC7" w:rsidR="0013103A" w:rsidRDefault="0013103A" w:rsidP="00F538E6">
      <w:pPr>
        <w:spacing w:line="240" w:lineRule="auto"/>
        <w:rPr>
          <w:rFonts w:eastAsia="Times New Roman"/>
          <w:lang w:val="en-US"/>
        </w:rPr>
      </w:pPr>
      <w:r w:rsidRPr="0013103A">
        <w:rPr>
          <w:rFonts w:eastAsia="Times New Roman"/>
          <w:lang w:val="en-US"/>
        </w:rPr>
        <w:t>President, The Children’s Partnership</w:t>
      </w:r>
    </w:p>
    <w:p w14:paraId="79F08925" w14:textId="1BCA5810" w:rsidR="0013103A" w:rsidRDefault="0013103A" w:rsidP="00F538E6">
      <w:pPr>
        <w:spacing w:line="240" w:lineRule="auto"/>
        <w:rPr>
          <w:rFonts w:eastAsia="Times New Roman"/>
          <w:lang w:val="en-US"/>
        </w:rPr>
      </w:pPr>
    </w:p>
    <w:p w14:paraId="3CA12EF6" w14:textId="1B31D10D" w:rsidR="0013103A" w:rsidRPr="0013103A" w:rsidRDefault="0013103A" w:rsidP="00F538E6">
      <w:pPr>
        <w:spacing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  <w:t>Cc: Scott Bain, consultant, Assembly Health Committee</w:t>
      </w:r>
    </w:p>
    <w:p w14:paraId="1C35F359" w14:textId="5CC566AF" w:rsidR="0013103A" w:rsidRDefault="0013103A" w:rsidP="00F538E6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1C01411C" w14:textId="77777777" w:rsidR="0013103A" w:rsidRPr="008011DD" w:rsidRDefault="0013103A" w:rsidP="00F538E6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3BC1BF09" w14:textId="1EDABF0B" w:rsidR="00F538E6" w:rsidRPr="008011DD" w:rsidRDefault="00F538E6"/>
    <w:sectPr w:rsidR="00F538E6" w:rsidRPr="008011DD">
      <w:headerReference w:type="default" r:id="rId8"/>
      <w:footerReference w:type="default" r:id="rId9"/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FE722" w14:textId="77777777" w:rsidR="00D87878" w:rsidRDefault="00D87878">
      <w:pPr>
        <w:spacing w:line="240" w:lineRule="auto"/>
      </w:pPr>
      <w:r>
        <w:separator/>
      </w:r>
    </w:p>
  </w:endnote>
  <w:endnote w:type="continuationSeparator" w:id="0">
    <w:p w14:paraId="69A5B9F9" w14:textId="77777777" w:rsidR="00D87878" w:rsidRDefault="00D87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0ED1" w14:textId="77777777" w:rsidR="00E94F9F" w:rsidRDefault="003D3CF6">
    <w:pPr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114300" distB="114300" distL="114300" distR="114300" wp14:anchorId="43CB9751" wp14:editId="7478C4EE">
          <wp:extent cx="5943600" cy="889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88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B7F7039" w14:textId="77777777" w:rsidR="00E94F9F" w:rsidRDefault="003D3CF6">
    <w:pPr>
      <w:jc w:val="center"/>
      <w:rPr>
        <w:sz w:val="16"/>
        <w:szCs w:val="16"/>
      </w:rPr>
    </w:pPr>
    <w:r>
      <w:rPr>
        <w:sz w:val="16"/>
        <w:szCs w:val="16"/>
      </w:rPr>
      <w:t>811 Wilshire Boulevard, Suite 1000, Los Angeles, CA 90017 |</w:t>
    </w:r>
    <w:r>
      <w:rPr>
        <w:b/>
        <w:color w:val="0A2F70"/>
        <w:sz w:val="16"/>
        <w:szCs w:val="16"/>
      </w:rPr>
      <w:t xml:space="preserve"> </w:t>
    </w:r>
    <w:proofErr w:type="spellStart"/>
    <w:r>
      <w:rPr>
        <w:b/>
        <w:color w:val="0A2F70"/>
        <w:sz w:val="16"/>
        <w:szCs w:val="16"/>
      </w:rPr>
      <w:t>tel</w:t>
    </w:r>
    <w:proofErr w:type="spellEnd"/>
    <w:r>
      <w:rPr>
        <w:b/>
        <w:color w:val="0A2F70"/>
        <w:sz w:val="16"/>
        <w:szCs w:val="16"/>
      </w:rPr>
      <w:t xml:space="preserve"> </w:t>
    </w:r>
    <w:r>
      <w:rPr>
        <w:sz w:val="16"/>
        <w:szCs w:val="16"/>
      </w:rPr>
      <w:t>213.341.1222</w:t>
    </w:r>
  </w:p>
  <w:p w14:paraId="2300FDC5" w14:textId="77777777" w:rsidR="00E94F9F" w:rsidRDefault="003D3CF6">
    <w:pPr>
      <w:jc w:val="center"/>
      <w:rPr>
        <w:b/>
        <w:color w:val="0A2F70"/>
        <w:sz w:val="16"/>
        <w:szCs w:val="16"/>
      </w:rPr>
    </w:pPr>
    <w:r>
      <w:rPr>
        <w:b/>
        <w:color w:val="0A2F70"/>
        <w:sz w:val="16"/>
        <w:szCs w:val="16"/>
      </w:rPr>
      <w:t>www.childrenspartnership.org</w:t>
    </w:r>
    <w:r>
      <w:rPr>
        <w:color w:val="0A2F70"/>
        <w:sz w:val="16"/>
        <w:szCs w:val="16"/>
      </w:rPr>
      <w:t xml:space="preserve"> </w:t>
    </w:r>
    <w:r>
      <w:rPr>
        <w:sz w:val="16"/>
        <w:szCs w:val="16"/>
      </w:rPr>
      <w:t>|</w:t>
    </w:r>
    <w:r>
      <w:rPr>
        <w:b/>
        <w:color w:val="0A2F70"/>
        <w:sz w:val="16"/>
        <w:szCs w:val="16"/>
      </w:rPr>
      <w:t xml:space="preserve"> </w:t>
    </w:r>
    <w:hyperlink r:id="rId2">
      <w:r>
        <w:rPr>
          <w:b/>
          <w:color w:val="1155CC"/>
          <w:sz w:val="16"/>
          <w:szCs w:val="16"/>
          <w:u w:val="single"/>
        </w:rPr>
        <w:t>frontdoor@childrenspartnership.org</w:t>
      </w:r>
    </w:hyperlink>
  </w:p>
  <w:p w14:paraId="781437D8" w14:textId="77777777" w:rsidR="00E94F9F" w:rsidRDefault="00E94F9F">
    <w:pPr>
      <w:jc w:val="center"/>
      <w:rPr>
        <w:b/>
        <w:color w:val="0A2F70"/>
        <w:sz w:val="16"/>
        <w:szCs w:val="16"/>
      </w:rPr>
    </w:pPr>
  </w:p>
  <w:p w14:paraId="3AAF4C09" w14:textId="77777777" w:rsidR="00E94F9F" w:rsidRDefault="00E94F9F">
    <w:pPr>
      <w:jc w:val="center"/>
      <w:rPr>
        <w:b/>
        <w:color w:val="0A2F70"/>
        <w:sz w:val="16"/>
        <w:szCs w:val="16"/>
      </w:rPr>
    </w:pPr>
  </w:p>
  <w:p w14:paraId="7204C4C4" w14:textId="77777777" w:rsidR="00E94F9F" w:rsidRDefault="003D3CF6">
    <w:pPr>
      <w:jc w:val="center"/>
      <w:rPr>
        <w:b/>
        <w:color w:val="0A2F70"/>
        <w:sz w:val="16"/>
        <w:szCs w:val="16"/>
      </w:rPr>
    </w:pPr>
    <w:r>
      <w:rPr>
        <w:b/>
        <w:color w:val="0A2F70"/>
        <w:sz w:val="16"/>
        <w:szCs w:val="16"/>
      </w:rPr>
      <w:fldChar w:fldCharType="begin"/>
    </w:r>
    <w:r>
      <w:rPr>
        <w:b/>
        <w:color w:val="0A2F70"/>
        <w:sz w:val="16"/>
        <w:szCs w:val="16"/>
      </w:rPr>
      <w:instrText>PAGE</w:instrText>
    </w:r>
    <w:r>
      <w:rPr>
        <w:b/>
        <w:color w:val="0A2F70"/>
        <w:sz w:val="16"/>
        <w:szCs w:val="16"/>
      </w:rPr>
      <w:fldChar w:fldCharType="separate"/>
    </w:r>
    <w:r w:rsidR="00F538E6">
      <w:rPr>
        <w:b/>
        <w:noProof/>
        <w:color w:val="0A2F70"/>
        <w:sz w:val="16"/>
        <w:szCs w:val="16"/>
      </w:rPr>
      <w:t>1</w:t>
    </w:r>
    <w:r>
      <w:rPr>
        <w:b/>
        <w:color w:val="0A2F7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9EE2" w14:textId="77777777" w:rsidR="00D87878" w:rsidRDefault="00D87878">
      <w:pPr>
        <w:spacing w:line="240" w:lineRule="auto"/>
      </w:pPr>
      <w:r>
        <w:separator/>
      </w:r>
    </w:p>
  </w:footnote>
  <w:footnote w:type="continuationSeparator" w:id="0">
    <w:p w14:paraId="346F1AFF" w14:textId="77777777" w:rsidR="00D87878" w:rsidRDefault="00D878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099E" w14:textId="77777777" w:rsidR="00E94F9F" w:rsidRDefault="003D3CF6">
    <w:r>
      <w:rPr>
        <w:noProof/>
      </w:rPr>
      <w:drawing>
        <wp:inline distT="114300" distB="114300" distL="114300" distR="114300" wp14:anchorId="0F03EB2B" wp14:editId="24618FA3">
          <wp:extent cx="1538288" cy="723900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8288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5A7D7DB" w14:textId="77777777" w:rsidR="00E94F9F" w:rsidRDefault="003D3CF6">
    <w:r>
      <w:rPr>
        <w:noProof/>
      </w:rPr>
      <w:drawing>
        <wp:inline distT="114300" distB="114300" distL="114300" distR="114300" wp14:anchorId="4DD030D6" wp14:editId="46EE6CAA">
          <wp:extent cx="5943600" cy="889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88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9F"/>
    <w:rsid w:val="0006150D"/>
    <w:rsid w:val="00066D42"/>
    <w:rsid w:val="0007684A"/>
    <w:rsid w:val="001202CC"/>
    <w:rsid w:val="0013103A"/>
    <w:rsid w:val="001C14C5"/>
    <w:rsid w:val="001F5590"/>
    <w:rsid w:val="00220035"/>
    <w:rsid w:val="00256805"/>
    <w:rsid w:val="002E649E"/>
    <w:rsid w:val="003334D0"/>
    <w:rsid w:val="00366FDB"/>
    <w:rsid w:val="003D0C4C"/>
    <w:rsid w:val="003D3CF6"/>
    <w:rsid w:val="00404385"/>
    <w:rsid w:val="00436692"/>
    <w:rsid w:val="00514051"/>
    <w:rsid w:val="005E3B81"/>
    <w:rsid w:val="006441FD"/>
    <w:rsid w:val="00675DE0"/>
    <w:rsid w:val="006A1252"/>
    <w:rsid w:val="00715005"/>
    <w:rsid w:val="007D1A61"/>
    <w:rsid w:val="008011DD"/>
    <w:rsid w:val="00856649"/>
    <w:rsid w:val="00930FF0"/>
    <w:rsid w:val="00B204C3"/>
    <w:rsid w:val="00B742EA"/>
    <w:rsid w:val="00BC70DC"/>
    <w:rsid w:val="00C74BE9"/>
    <w:rsid w:val="00C86555"/>
    <w:rsid w:val="00D16D1C"/>
    <w:rsid w:val="00D744A6"/>
    <w:rsid w:val="00D87878"/>
    <w:rsid w:val="00E02110"/>
    <w:rsid w:val="00E27B57"/>
    <w:rsid w:val="00E94F9F"/>
    <w:rsid w:val="00EF653F"/>
    <w:rsid w:val="00F3183A"/>
    <w:rsid w:val="00F538E6"/>
    <w:rsid w:val="00F5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25D67A"/>
  <w15:docId w15:val="{B98BEDFA-EC1E-544F-8891-2C4DC870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F5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F538E6"/>
  </w:style>
  <w:style w:type="paragraph" w:styleId="Revision">
    <w:name w:val="Revision"/>
    <w:hidden/>
    <w:uiPriority w:val="99"/>
    <w:semiHidden/>
    <w:rsid w:val="00D16D1C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75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D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D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D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rontdoor@childrenspartnership.or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6A49ED-F172-E648-82DB-7BB2BDFC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2022-03-22T04:33:00Z</dcterms:created>
  <dcterms:modified xsi:type="dcterms:W3CDTF">2022-03-22T04:43:00Z</dcterms:modified>
</cp:coreProperties>
</file>